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D992" w14:textId="72933CDE" w:rsidR="00B11AB0" w:rsidRDefault="00463025">
      <w:pPr>
        <w:spacing w:line="274" w:lineRule="auto"/>
        <w:ind w:left="0" w:right="165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C08A3EB" wp14:editId="2285533A">
                <wp:simplePos x="0" y="0"/>
                <wp:positionH relativeFrom="column">
                  <wp:posOffset>4663440</wp:posOffset>
                </wp:positionH>
                <wp:positionV relativeFrom="paragraph">
                  <wp:posOffset>-124233</wp:posOffset>
                </wp:positionV>
                <wp:extent cx="2217382" cy="866140"/>
                <wp:effectExtent l="0" t="0" r="0" b="0"/>
                <wp:wrapSquare wrapText="bothSides"/>
                <wp:docPr id="3054" name="Group 3054"/>
                <wp:cNvGraphicFramePr/>
                <a:graphic xmlns:a="http://schemas.openxmlformats.org/drawingml/2006/main">
                  <a:graphicData uri="http://schemas.microsoft.com/office/word/2010/wordprocessingGroup">
                    <wpg:wgp>
                      <wpg:cNvGrpSpPr/>
                      <wpg:grpSpPr>
                        <a:xfrm>
                          <a:off x="0" y="0"/>
                          <a:ext cx="2217382" cy="866140"/>
                          <a:chOff x="0" y="0"/>
                          <a:chExt cx="2217382" cy="866140"/>
                        </a:xfrm>
                      </wpg:grpSpPr>
                      <pic:pic xmlns:pic="http://schemas.openxmlformats.org/drawingml/2006/picture">
                        <pic:nvPicPr>
                          <pic:cNvPr id="209" name="Picture 209"/>
                          <pic:cNvPicPr/>
                        </pic:nvPicPr>
                        <pic:blipFill>
                          <a:blip r:embed="rId6"/>
                          <a:stretch>
                            <a:fillRect/>
                          </a:stretch>
                        </pic:blipFill>
                        <pic:spPr>
                          <a:xfrm>
                            <a:off x="1342771" y="0"/>
                            <a:ext cx="874611" cy="857885"/>
                          </a:xfrm>
                          <a:prstGeom prst="rect">
                            <a:avLst/>
                          </a:prstGeom>
                        </pic:spPr>
                      </pic:pic>
                      <pic:pic xmlns:pic="http://schemas.openxmlformats.org/drawingml/2006/picture">
                        <pic:nvPicPr>
                          <pic:cNvPr id="211" name="Picture 211"/>
                          <pic:cNvPicPr/>
                        </pic:nvPicPr>
                        <pic:blipFill>
                          <a:blip r:embed="rId7"/>
                          <a:stretch>
                            <a:fillRect/>
                          </a:stretch>
                        </pic:blipFill>
                        <pic:spPr>
                          <a:xfrm>
                            <a:off x="0" y="0"/>
                            <a:ext cx="827761" cy="866140"/>
                          </a:xfrm>
                          <a:prstGeom prst="rect">
                            <a:avLst/>
                          </a:prstGeom>
                        </pic:spPr>
                      </pic:pic>
                      <wps:wsp>
                        <wps:cNvPr id="212" name="Shape 212"/>
                        <wps:cNvSpPr/>
                        <wps:spPr>
                          <a:xfrm>
                            <a:off x="1095121" y="76200"/>
                            <a:ext cx="0" cy="753111"/>
                          </a:xfrm>
                          <a:custGeom>
                            <a:avLst/>
                            <a:gdLst/>
                            <a:ahLst/>
                            <a:cxnLst/>
                            <a:rect l="0" t="0" r="0" b="0"/>
                            <a:pathLst>
                              <a:path h="753111">
                                <a:moveTo>
                                  <a:pt x="0" y="0"/>
                                </a:moveTo>
                                <a:lnTo>
                                  <a:pt x="0" y="753111"/>
                                </a:lnTo>
                              </a:path>
                            </a:pathLst>
                          </a:custGeom>
                          <a:ln w="3175" cap="flat">
                            <a:miter lim="127000"/>
                          </a:ln>
                        </wps:spPr>
                        <wps:style>
                          <a:lnRef idx="1">
                            <a:srgbClr val="59595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54" style="width:174.597pt;height:68.2pt;position:absolute;mso-position-horizontal-relative:text;mso-position-horizontal:absolute;margin-left:367.2pt;mso-position-vertical-relative:text;margin-top:-9.78219pt;" coordsize="22173,8661">
                <v:shape id="Picture 209" style="position:absolute;width:8746;height:8578;left:13427;top:0;" filled="f">
                  <v:imagedata r:id="rId8"/>
                </v:shape>
                <v:shape id="Picture 211" style="position:absolute;width:8277;height:8661;left:0;top:0;" filled="f">
                  <v:imagedata r:id="rId9"/>
                </v:shape>
                <v:shape id="Shape 212" style="position:absolute;width:0;height:7531;left:10951;top:762;" coordsize="0,753111" path="m0,0l0,753111">
                  <v:stroke weight="0.25pt" endcap="flat" joinstyle="miter" miterlimit="10" on="true" color="#595959"/>
                  <v:fill on="false" color="#000000" opacity="0"/>
                </v:shape>
                <w10:wrap type="square"/>
              </v:group>
            </w:pict>
          </mc:Fallback>
        </mc:AlternateContent>
      </w:r>
      <w:r>
        <w:rPr>
          <w:b/>
          <w:sz w:val="40"/>
        </w:rPr>
        <w:t>ALPHARETTA HIGH SCHOOL</w:t>
      </w:r>
      <w:r>
        <w:rPr>
          <w:b/>
          <w:sz w:val="48"/>
        </w:rPr>
        <w:t xml:space="preserve">             </w:t>
      </w:r>
      <w:r>
        <w:rPr>
          <w:b/>
          <w:sz w:val="44"/>
        </w:rPr>
        <w:t>COMMON SYLLABUS 202</w:t>
      </w:r>
      <w:r w:rsidR="002E1EA5">
        <w:rPr>
          <w:b/>
          <w:sz w:val="44"/>
        </w:rPr>
        <w:t>2</w:t>
      </w:r>
      <w:r>
        <w:rPr>
          <w:b/>
          <w:sz w:val="44"/>
        </w:rPr>
        <w:t>-202</w:t>
      </w:r>
      <w:r w:rsidR="002E1EA5">
        <w:rPr>
          <w:b/>
          <w:sz w:val="44"/>
        </w:rPr>
        <w:t>3</w:t>
      </w:r>
      <w:r>
        <w:rPr>
          <w:sz w:val="44"/>
        </w:rPr>
        <w:t xml:space="preserve"> </w:t>
      </w:r>
      <w:r>
        <w:rPr>
          <w:b/>
          <w:sz w:val="40"/>
        </w:rPr>
        <w:t xml:space="preserve"> </w:t>
      </w:r>
    </w:p>
    <w:p w14:paraId="423B7EB8" w14:textId="77777777" w:rsidR="00B11AB0" w:rsidRPr="00311A09" w:rsidRDefault="00463025">
      <w:pPr>
        <w:spacing w:after="197" w:line="276" w:lineRule="auto"/>
        <w:ind w:left="0" w:right="5" w:firstLine="0"/>
        <w:jc w:val="both"/>
        <w:rPr>
          <w:sz w:val="20"/>
          <w:szCs w:val="20"/>
        </w:rPr>
      </w:pPr>
      <w:r w:rsidRPr="00311A09">
        <w:rPr>
          <w:b/>
          <w:i/>
          <w:sz w:val="20"/>
          <w:szCs w:val="20"/>
        </w:rPr>
        <w:t xml:space="preserve">The information provided below pertains to policies and procedures that remain consistent in every Alpharetta High School classroom. These policies are supplemental to the information in the Handbook for Students and Parents and the individual class syllabus.  </w:t>
      </w:r>
      <w:r w:rsidRPr="00311A09">
        <w:rPr>
          <w:sz w:val="20"/>
          <w:szCs w:val="20"/>
        </w:rPr>
        <w:t xml:space="preserve"> </w:t>
      </w:r>
    </w:p>
    <w:p w14:paraId="7F793A06" w14:textId="77777777" w:rsidR="00B11AB0" w:rsidRPr="00311A09" w:rsidRDefault="00463025">
      <w:pPr>
        <w:pStyle w:val="Heading1"/>
        <w:ind w:left="-5"/>
        <w:rPr>
          <w:sz w:val="20"/>
          <w:szCs w:val="20"/>
        </w:rPr>
      </w:pPr>
      <w:r w:rsidRPr="00311A09">
        <w:rPr>
          <w:sz w:val="20"/>
          <w:szCs w:val="20"/>
        </w:rPr>
        <w:t>PRACTICE</w:t>
      </w:r>
      <w:r w:rsidRPr="00311A09">
        <w:rPr>
          <w:b w:val="0"/>
          <w:sz w:val="20"/>
          <w:szCs w:val="20"/>
        </w:rPr>
        <w:t xml:space="preserve">                                                                                                                                                             </w:t>
      </w:r>
    </w:p>
    <w:p w14:paraId="68B3E892" w14:textId="77777777" w:rsidR="00B11AB0" w:rsidRPr="00311A09" w:rsidRDefault="00463025">
      <w:pPr>
        <w:spacing w:after="194"/>
        <w:ind w:left="-5"/>
        <w:rPr>
          <w:sz w:val="20"/>
          <w:szCs w:val="20"/>
        </w:rPr>
      </w:pPr>
      <w:r w:rsidRPr="00311A09">
        <w:rPr>
          <w:sz w:val="20"/>
          <w:szCs w:val="20"/>
        </w:rPr>
        <w:t xml:space="preserve">All practice including daily assignments, observations and/or engagement activities given in class or for homework will be designed to provide relevant, standards-based activities that align with the course scope and sequence.  Homework assignments will be announced during class and must be accessible to students and parents no later than 4:00 pm on the day of assignment for digitally accessible work. </w:t>
      </w:r>
    </w:p>
    <w:p w14:paraId="58EE148F" w14:textId="0C8C288B" w:rsidR="00B11AB0" w:rsidRPr="00311A09" w:rsidRDefault="00463025">
      <w:pPr>
        <w:pStyle w:val="Heading1"/>
        <w:ind w:left="-5"/>
        <w:rPr>
          <w:sz w:val="20"/>
          <w:szCs w:val="20"/>
        </w:rPr>
      </w:pPr>
      <w:r w:rsidRPr="00311A09">
        <w:rPr>
          <w:sz w:val="20"/>
          <w:szCs w:val="20"/>
        </w:rPr>
        <w:t>M</w:t>
      </w:r>
      <w:r w:rsidR="002E1EA5" w:rsidRPr="00311A09">
        <w:rPr>
          <w:sz w:val="20"/>
          <w:szCs w:val="20"/>
        </w:rPr>
        <w:t>ISSING AND LATE WORK</w:t>
      </w:r>
      <w:r w:rsidRPr="00311A09">
        <w:rPr>
          <w:sz w:val="20"/>
          <w:szCs w:val="20"/>
        </w:rPr>
        <w:t xml:space="preserve">                                                                                   </w:t>
      </w:r>
      <w:r w:rsidRPr="00311A09">
        <w:rPr>
          <w:b w:val="0"/>
          <w:sz w:val="20"/>
          <w:szCs w:val="20"/>
        </w:rPr>
        <w:t xml:space="preserve"> </w:t>
      </w:r>
    </w:p>
    <w:p w14:paraId="149D8ABC" w14:textId="3F8E68EE" w:rsidR="00B11AB0" w:rsidRPr="00311A09" w:rsidRDefault="00463025" w:rsidP="002D4AFA">
      <w:pPr>
        <w:spacing w:line="280" w:lineRule="auto"/>
        <w:ind w:left="0" w:right="58" w:firstLine="0"/>
        <w:jc w:val="both"/>
        <w:rPr>
          <w:sz w:val="20"/>
          <w:szCs w:val="20"/>
        </w:rPr>
      </w:pPr>
      <w:r w:rsidRPr="00311A09">
        <w:rPr>
          <w:sz w:val="20"/>
          <w:szCs w:val="20"/>
        </w:rPr>
        <w:t xml:space="preserve">Students should make every effort to complete any missing work in a timely manner. </w:t>
      </w:r>
      <w:r w:rsidR="00467FA0" w:rsidRPr="00311A09">
        <w:rPr>
          <w:sz w:val="20"/>
          <w:szCs w:val="20"/>
        </w:rPr>
        <w:t xml:space="preserve">All makeup work </w:t>
      </w:r>
      <w:r w:rsidR="002D4AFA" w:rsidRPr="00311A09">
        <w:rPr>
          <w:sz w:val="20"/>
          <w:szCs w:val="20"/>
        </w:rPr>
        <w:t>must</w:t>
      </w:r>
      <w:r w:rsidR="00467FA0" w:rsidRPr="00311A09">
        <w:rPr>
          <w:sz w:val="20"/>
          <w:szCs w:val="20"/>
        </w:rPr>
        <w:t xml:space="preserve"> be completed within 10 days of the original due date of the assignment, assessment and/or task.</w:t>
      </w:r>
      <w:r w:rsidR="001D5D40" w:rsidRPr="00311A09">
        <w:rPr>
          <w:sz w:val="20"/>
          <w:szCs w:val="20"/>
        </w:rPr>
        <w:t xml:space="preserve">  Penalties may be applied to assignments based on professional learning community agreements, see individual course syllabu</w:t>
      </w:r>
      <w:r w:rsidR="002D4AFA" w:rsidRPr="00311A09">
        <w:rPr>
          <w:sz w:val="20"/>
          <w:szCs w:val="20"/>
        </w:rPr>
        <w:t>s.  Extenuating circumstances due to prolonged absences of more than five consecutive days will be reviewed by the content departments leadership team.</w:t>
      </w:r>
      <w:r w:rsidR="00F86E29" w:rsidRPr="00311A09">
        <w:rPr>
          <w:sz w:val="20"/>
          <w:szCs w:val="20"/>
        </w:rPr>
        <w:t xml:space="preserve">  </w:t>
      </w:r>
      <w:r w:rsidR="002D4AFA" w:rsidRPr="00311A09">
        <w:rPr>
          <w:sz w:val="20"/>
          <w:szCs w:val="20"/>
        </w:rPr>
        <w:t xml:space="preserve"> </w:t>
      </w:r>
    </w:p>
    <w:p w14:paraId="7CF55B31" w14:textId="77777777" w:rsidR="002D4AFA" w:rsidRPr="00311A09" w:rsidRDefault="002D4AFA">
      <w:pPr>
        <w:pStyle w:val="Heading1"/>
        <w:ind w:left="-5"/>
        <w:rPr>
          <w:sz w:val="20"/>
          <w:szCs w:val="20"/>
        </w:rPr>
      </w:pPr>
    </w:p>
    <w:p w14:paraId="7AE001D8" w14:textId="09DFFFE7" w:rsidR="00B11AB0" w:rsidRPr="00311A09" w:rsidRDefault="00F86E29">
      <w:pPr>
        <w:pStyle w:val="Heading1"/>
        <w:ind w:left="-5"/>
        <w:rPr>
          <w:sz w:val="20"/>
          <w:szCs w:val="20"/>
        </w:rPr>
      </w:pPr>
      <w:r w:rsidRPr="00311A09">
        <w:rPr>
          <w:sz w:val="20"/>
          <w:szCs w:val="20"/>
        </w:rPr>
        <w:t>MID-TERM</w:t>
      </w:r>
      <w:r w:rsidR="009C4707" w:rsidRPr="00311A09">
        <w:rPr>
          <w:sz w:val="20"/>
          <w:szCs w:val="20"/>
        </w:rPr>
        <w:t>S</w:t>
      </w:r>
      <w:r w:rsidRPr="00311A09">
        <w:rPr>
          <w:sz w:val="20"/>
          <w:szCs w:val="20"/>
        </w:rPr>
        <w:t xml:space="preserve">, </w:t>
      </w:r>
      <w:r w:rsidR="00463025" w:rsidRPr="00311A09">
        <w:rPr>
          <w:sz w:val="20"/>
          <w:szCs w:val="20"/>
        </w:rPr>
        <w:t>FINAL EXAMS</w:t>
      </w:r>
      <w:r w:rsidRPr="00311A09">
        <w:rPr>
          <w:sz w:val="20"/>
          <w:szCs w:val="20"/>
        </w:rPr>
        <w:t xml:space="preserve">, AND GRADABLE EXPERIENCES </w:t>
      </w:r>
      <w:r w:rsidR="00463025" w:rsidRPr="00311A09">
        <w:rPr>
          <w:sz w:val="20"/>
          <w:szCs w:val="20"/>
        </w:rPr>
        <w:t xml:space="preserve">                                                                                                                                                        </w:t>
      </w:r>
    </w:p>
    <w:p w14:paraId="3B69345C" w14:textId="178D6B1D" w:rsidR="00F86E29" w:rsidRPr="00311A09" w:rsidRDefault="00F86E29">
      <w:pPr>
        <w:ind w:left="-5"/>
        <w:rPr>
          <w:sz w:val="20"/>
          <w:szCs w:val="20"/>
        </w:rPr>
      </w:pPr>
      <w:r w:rsidRPr="00311A09">
        <w:rPr>
          <w:sz w:val="20"/>
          <w:szCs w:val="20"/>
        </w:rPr>
        <w:t>All face</w:t>
      </w:r>
      <w:r w:rsidR="00B86270" w:rsidRPr="00311A09">
        <w:rPr>
          <w:sz w:val="20"/>
          <w:szCs w:val="20"/>
        </w:rPr>
        <w:t>-</w:t>
      </w:r>
      <w:r w:rsidRPr="00311A09">
        <w:rPr>
          <w:sz w:val="20"/>
          <w:szCs w:val="20"/>
        </w:rPr>
        <w:t>to</w:t>
      </w:r>
      <w:r w:rsidR="00B86270" w:rsidRPr="00311A09">
        <w:rPr>
          <w:sz w:val="20"/>
          <w:szCs w:val="20"/>
        </w:rPr>
        <w:t>-</w:t>
      </w:r>
      <w:r w:rsidRPr="00311A09">
        <w:rPr>
          <w:sz w:val="20"/>
          <w:szCs w:val="20"/>
        </w:rPr>
        <w:t xml:space="preserve">face AHS courses will meet during </w:t>
      </w:r>
      <w:r w:rsidR="00B86270" w:rsidRPr="00311A09">
        <w:rPr>
          <w:sz w:val="20"/>
          <w:szCs w:val="20"/>
        </w:rPr>
        <w:t>the</w:t>
      </w:r>
      <w:r w:rsidRPr="00311A09">
        <w:rPr>
          <w:sz w:val="20"/>
          <w:szCs w:val="20"/>
        </w:rPr>
        <w:t xml:space="preserve"> scheduled final exam period</w:t>
      </w:r>
      <w:r w:rsidR="00B86270" w:rsidRPr="00311A09">
        <w:rPr>
          <w:sz w:val="20"/>
          <w:szCs w:val="20"/>
        </w:rPr>
        <w:t>,</w:t>
      </w:r>
      <w:r w:rsidRPr="00311A09">
        <w:rPr>
          <w:sz w:val="20"/>
          <w:szCs w:val="20"/>
        </w:rPr>
        <w:t xml:space="preserve"> the last three days of each semester.</w:t>
      </w:r>
      <w:r w:rsidR="00B86270" w:rsidRPr="00311A09">
        <w:rPr>
          <w:sz w:val="20"/>
          <w:szCs w:val="20"/>
        </w:rPr>
        <w:t xml:space="preserve">  During these three days, courses will have a mid-term, final exam, or a graded assignment.  Students who do not exempt, will be expected to attend.  See exemption policy.  </w:t>
      </w:r>
      <w:r w:rsidRPr="00311A09">
        <w:rPr>
          <w:sz w:val="20"/>
          <w:szCs w:val="20"/>
        </w:rPr>
        <w:t xml:space="preserve">  </w:t>
      </w:r>
    </w:p>
    <w:p w14:paraId="7EB3BA78" w14:textId="3EC8060C" w:rsidR="00B11AB0" w:rsidRPr="00311A09" w:rsidRDefault="00F86E29" w:rsidP="0028342B">
      <w:pPr>
        <w:ind w:left="-5"/>
        <w:rPr>
          <w:sz w:val="20"/>
          <w:szCs w:val="20"/>
        </w:rPr>
      </w:pPr>
      <w:r w:rsidRPr="00311A09">
        <w:rPr>
          <w:sz w:val="20"/>
          <w:szCs w:val="20"/>
        </w:rPr>
        <w:t>Reference individual course syllabus to determine if a mid-term or final exam will be administered for your course.  Mid-term</w:t>
      </w:r>
      <w:r w:rsidR="0028342B" w:rsidRPr="00311A09">
        <w:rPr>
          <w:sz w:val="20"/>
          <w:szCs w:val="20"/>
        </w:rPr>
        <w:t>s,</w:t>
      </w:r>
      <w:r w:rsidRPr="00311A09">
        <w:rPr>
          <w:sz w:val="20"/>
          <w:szCs w:val="20"/>
        </w:rPr>
        <w:t xml:space="preserve"> f</w:t>
      </w:r>
      <w:r w:rsidR="00463025" w:rsidRPr="00311A09">
        <w:rPr>
          <w:sz w:val="20"/>
          <w:szCs w:val="20"/>
        </w:rPr>
        <w:t xml:space="preserve">inal </w:t>
      </w:r>
      <w:r w:rsidR="0028342B" w:rsidRPr="00311A09">
        <w:rPr>
          <w:sz w:val="20"/>
          <w:szCs w:val="20"/>
        </w:rPr>
        <w:t>exams,</w:t>
      </w:r>
      <w:r w:rsidR="00463025" w:rsidRPr="00311A09">
        <w:rPr>
          <w:sz w:val="20"/>
          <w:szCs w:val="20"/>
        </w:rPr>
        <w:t xml:space="preserve"> </w:t>
      </w:r>
      <w:r w:rsidR="0028342B" w:rsidRPr="00311A09">
        <w:rPr>
          <w:sz w:val="20"/>
          <w:szCs w:val="20"/>
        </w:rPr>
        <w:t xml:space="preserve">and gradable experiences </w:t>
      </w:r>
      <w:r w:rsidR="00463025" w:rsidRPr="00311A09">
        <w:rPr>
          <w:sz w:val="20"/>
          <w:szCs w:val="20"/>
        </w:rPr>
        <w:t>will not be administered early; thus, students should make every effort to be present on the dates of the</w:t>
      </w:r>
      <w:r w:rsidRPr="00311A09">
        <w:rPr>
          <w:sz w:val="20"/>
          <w:szCs w:val="20"/>
        </w:rPr>
        <w:t xml:space="preserve"> mid-term or final</w:t>
      </w:r>
      <w:r w:rsidR="00463025" w:rsidRPr="00311A09">
        <w:rPr>
          <w:sz w:val="20"/>
          <w:szCs w:val="20"/>
        </w:rPr>
        <w:t xml:space="preserve"> exam.</w:t>
      </w:r>
      <w:r w:rsidRPr="00311A09">
        <w:rPr>
          <w:sz w:val="20"/>
          <w:szCs w:val="20"/>
        </w:rPr>
        <w:t xml:space="preserve"> </w:t>
      </w:r>
      <w:r w:rsidR="00463025" w:rsidRPr="00311A09">
        <w:rPr>
          <w:sz w:val="20"/>
          <w:szCs w:val="20"/>
        </w:rPr>
        <w:t xml:space="preserve"> For courses with a Georgia Milestones End-of-Course Test (EOC), the EOC will count 20% of the final grade and serve as the final exam at the end of the course.  </w:t>
      </w:r>
    </w:p>
    <w:p w14:paraId="5005894D" w14:textId="77777777" w:rsidR="00B11AB0" w:rsidRPr="00311A09" w:rsidRDefault="00463025">
      <w:pPr>
        <w:spacing w:after="72" w:line="259" w:lineRule="auto"/>
        <w:ind w:left="0" w:firstLine="0"/>
        <w:rPr>
          <w:sz w:val="20"/>
          <w:szCs w:val="20"/>
        </w:rPr>
      </w:pPr>
      <w:r w:rsidRPr="00311A09">
        <w:rPr>
          <w:sz w:val="20"/>
          <w:szCs w:val="20"/>
        </w:rPr>
        <w:t xml:space="preserve"> </w:t>
      </w:r>
    </w:p>
    <w:p w14:paraId="7F71249D" w14:textId="19C24FCC" w:rsidR="00B11AB0" w:rsidRPr="00311A09" w:rsidRDefault="00463025">
      <w:pPr>
        <w:pStyle w:val="Heading1"/>
        <w:ind w:left="-5"/>
        <w:rPr>
          <w:sz w:val="20"/>
          <w:szCs w:val="20"/>
        </w:rPr>
      </w:pPr>
      <w:r w:rsidRPr="00311A09">
        <w:rPr>
          <w:sz w:val="20"/>
          <w:szCs w:val="20"/>
        </w:rPr>
        <w:t xml:space="preserve">ACADEMIC HONESTY                                                                                                                                        </w:t>
      </w:r>
    </w:p>
    <w:p w14:paraId="32968C7A" w14:textId="77777777" w:rsidR="00B11AB0" w:rsidRPr="00311A09" w:rsidRDefault="00463025">
      <w:pPr>
        <w:ind w:left="-5"/>
        <w:rPr>
          <w:sz w:val="20"/>
          <w:szCs w:val="20"/>
        </w:rPr>
      </w:pPr>
      <w:r w:rsidRPr="00311A09">
        <w:rPr>
          <w:sz w:val="20"/>
          <w:szCs w:val="20"/>
        </w:rPr>
        <w:t xml:space="preserve">To encourage good study habits, fair competition, and positive development </w:t>
      </w:r>
      <w:proofErr w:type="gramStart"/>
      <w:r w:rsidRPr="00311A09">
        <w:rPr>
          <w:sz w:val="20"/>
          <w:szCs w:val="20"/>
        </w:rPr>
        <w:t>in the area of</w:t>
      </w:r>
      <w:proofErr w:type="gramEnd"/>
      <w:r w:rsidRPr="00311A09">
        <w:rPr>
          <w:sz w:val="20"/>
          <w:szCs w:val="20"/>
        </w:rPr>
        <w:t xml:space="preserve"> academics, the Alpharetta faculty supports a strong policy for academic honesty. Students should read and understand the school’s Academic Honesty Policy as published in the Handbook for Students and Parents. Students are responsible for </w:t>
      </w:r>
      <w:proofErr w:type="gramStart"/>
      <w:r w:rsidRPr="00311A09">
        <w:rPr>
          <w:sz w:val="20"/>
          <w:szCs w:val="20"/>
        </w:rPr>
        <w:t>adhering to these policies at all times</w:t>
      </w:r>
      <w:proofErr w:type="gramEnd"/>
      <w:r w:rsidRPr="00311A09">
        <w:rPr>
          <w:sz w:val="20"/>
          <w:szCs w:val="20"/>
        </w:rPr>
        <w:t xml:space="preserve"> and on all assignments, assessments, projects, or tasks. </w:t>
      </w:r>
      <w:proofErr w:type="gramStart"/>
      <w:r w:rsidRPr="00311A09">
        <w:rPr>
          <w:sz w:val="20"/>
          <w:szCs w:val="20"/>
        </w:rPr>
        <w:t>In order to</w:t>
      </w:r>
      <w:proofErr w:type="gramEnd"/>
      <w:r w:rsidRPr="00311A09">
        <w:rPr>
          <w:sz w:val="20"/>
          <w:szCs w:val="20"/>
        </w:rPr>
        <w:t xml:space="preserve"> reinforce Alpharetta High School’s commitment to academic honesty and the ideals of being a R.I.C.H. Raider, students will be expected to write or sign an Academic Honesty pledge prior to completing an individual assignment.  The AHS Academic Honesty pledge states: </w:t>
      </w:r>
      <w:r w:rsidRPr="00311A09">
        <w:rPr>
          <w:b/>
          <w:i/>
          <w:sz w:val="20"/>
          <w:szCs w:val="20"/>
        </w:rPr>
        <w:t xml:space="preserve">As a R.I.C.H Raider, I, __ (student name)___, pledge that I have neither given nor received assistance on this assignment. </w:t>
      </w:r>
      <w:r w:rsidRPr="00311A09">
        <w:rPr>
          <w:sz w:val="20"/>
          <w:szCs w:val="20"/>
        </w:rPr>
        <w:t xml:space="preserve"> </w:t>
      </w:r>
    </w:p>
    <w:p w14:paraId="5497FE75" w14:textId="77777777" w:rsidR="00B11AB0" w:rsidRPr="00311A09" w:rsidRDefault="00463025">
      <w:pPr>
        <w:spacing w:after="17" w:line="259" w:lineRule="auto"/>
        <w:ind w:left="0" w:firstLine="0"/>
        <w:rPr>
          <w:sz w:val="20"/>
          <w:szCs w:val="20"/>
        </w:rPr>
      </w:pPr>
      <w:r w:rsidRPr="00311A09">
        <w:rPr>
          <w:b/>
          <w:i/>
          <w:sz w:val="20"/>
          <w:szCs w:val="20"/>
        </w:rPr>
        <w:t xml:space="preserve"> </w:t>
      </w:r>
    </w:p>
    <w:p w14:paraId="6609BC0C" w14:textId="77777777" w:rsidR="00B11AB0" w:rsidRPr="00311A09" w:rsidRDefault="00463025">
      <w:pPr>
        <w:pStyle w:val="Heading1"/>
        <w:ind w:left="-5"/>
        <w:rPr>
          <w:sz w:val="20"/>
          <w:szCs w:val="20"/>
        </w:rPr>
      </w:pPr>
      <w:r w:rsidRPr="00311A09">
        <w:rPr>
          <w:sz w:val="20"/>
          <w:szCs w:val="20"/>
        </w:rPr>
        <w:t xml:space="preserve">GRADING SCALE                                                                                                                                                  </w:t>
      </w:r>
    </w:p>
    <w:p w14:paraId="1E8007A1" w14:textId="17F697B8" w:rsidR="00B11AB0" w:rsidRPr="00311A09" w:rsidRDefault="00463025">
      <w:pPr>
        <w:ind w:left="-5"/>
        <w:rPr>
          <w:sz w:val="20"/>
          <w:szCs w:val="20"/>
        </w:rPr>
      </w:pPr>
      <w:r w:rsidRPr="00311A09">
        <w:rPr>
          <w:sz w:val="20"/>
          <w:szCs w:val="20"/>
        </w:rPr>
        <w:t xml:space="preserve">Letter grades will be assigned according to Fulton </w:t>
      </w:r>
      <w:r w:rsidR="00211984" w:rsidRPr="00311A09">
        <w:rPr>
          <w:sz w:val="20"/>
          <w:szCs w:val="20"/>
        </w:rPr>
        <w:t>County</w:t>
      </w:r>
      <w:r w:rsidRPr="00311A09">
        <w:rPr>
          <w:sz w:val="20"/>
          <w:szCs w:val="20"/>
        </w:rPr>
        <w:t xml:space="preserve">’s approved grading scale, which is as follows:  A—100-90, B—89-80, C—79-70, F—69-0. Honors points are added by the </w:t>
      </w:r>
      <w:r w:rsidR="00211984" w:rsidRPr="00311A09">
        <w:rPr>
          <w:sz w:val="20"/>
          <w:szCs w:val="20"/>
        </w:rPr>
        <w:t>district</w:t>
      </w:r>
      <w:r w:rsidRPr="00311A09">
        <w:rPr>
          <w:sz w:val="20"/>
          <w:szCs w:val="20"/>
        </w:rPr>
        <w:t xml:space="preserve"> at the end of each semester to the grade for Honors (H), Advanced Placement (AP), International Baccalaureate (IB), and Dual Enrollment (DE) courses. Progress reports are visible in the portal every 4.5 weeks and </w:t>
      </w:r>
      <w:r w:rsidRPr="00311A09">
        <w:rPr>
          <w:color w:val="333333"/>
          <w:sz w:val="20"/>
          <w:szCs w:val="20"/>
        </w:rPr>
        <w:t xml:space="preserve">report cards </w:t>
      </w:r>
      <w:r w:rsidRPr="00311A09">
        <w:rPr>
          <w:sz w:val="20"/>
          <w:szCs w:val="20"/>
        </w:rPr>
        <w:t xml:space="preserve">are visible in the portal </w:t>
      </w:r>
      <w:r w:rsidRPr="00311A09">
        <w:rPr>
          <w:color w:val="333333"/>
          <w:sz w:val="20"/>
          <w:szCs w:val="20"/>
        </w:rPr>
        <w:t>every nine weeks.</w:t>
      </w:r>
      <w:r w:rsidRPr="00311A09">
        <w:rPr>
          <w:sz w:val="20"/>
          <w:szCs w:val="20"/>
        </w:rPr>
        <w:t xml:space="preserve"> </w:t>
      </w:r>
      <w:r w:rsidRPr="00311A09">
        <w:rPr>
          <w:color w:val="333333"/>
          <w:sz w:val="20"/>
          <w:szCs w:val="20"/>
        </w:rPr>
        <w:t xml:space="preserve">Credit for high school courses is earned at the end of each semester. Final transcripts are mailed home at the end of school year.  </w:t>
      </w:r>
      <w:r w:rsidRPr="00311A09">
        <w:rPr>
          <w:sz w:val="20"/>
          <w:szCs w:val="20"/>
        </w:rPr>
        <w:t xml:space="preserve"> </w:t>
      </w:r>
    </w:p>
    <w:p w14:paraId="23D0AAA6" w14:textId="264B53E4" w:rsidR="00B11AB0" w:rsidRPr="00311A09" w:rsidRDefault="00463025" w:rsidP="009C4707">
      <w:pPr>
        <w:spacing w:line="259" w:lineRule="auto"/>
        <w:ind w:left="0" w:firstLine="0"/>
        <w:rPr>
          <w:sz w:val="20"/>
          <w:szCs w:val="20"/>
        </w:rPr>
      </w:pPr>
      <w:r w:rsidRPr="00311A09">
        <w:rPr>
          <w:sz w:val="20"/>
          <w:szCs w:val="20"/>
        </w:rPr>
        <w:t xml:space="preserve">  </w:t>
      </w:r>
    </w:p>
    <w:p w14:paraId="172F6897" w14:textId="77777777" w:rsidR="00B11AB0" w:rsidRPr="00311A09" w:rsidRDefault="00463025">
      <w:pPr>
        <w:pStyle w:val="Heading1"/>
        <w:ind w:left="-5"/>
        <w:rPr>
          <w:sz w:val="20"/>
          <w:szCs w:val="20"/>
        </w:rPr>
      </w:pPr>
      <w:r w:rsidRPr="00311A09">
        <w:rPr>
          <w:sz w:val="20"/>
          <w:szCs w:val="20"/>
        </w:rPr>
        <w:lastRenderedPageBreak/>
        <w:t xml:space="preserve">INFINITE CAMPUS                                                                                                                                                </w:t>
      </w:r>
    </w:p>
    <w:p w14:paraId="10CC2ADF" w14:textId="33AC7294" w:rsidR="00B11AB0" w:rsidRPr="00311A09" w:rsidRDefault="00463025">
      <w:pPr>
        <w:spacing w:after="196"/>
        <w:ind w:left="-5"/>
        <w:rPr>
          <w:sz w:val="20"/>
          <w:szCs w:val="20"/>
        </w:rPr>
      </w:pPr>
      <w:r w:rsidRPr="00311A09">
        <w:rPr>
          <w:sz w:val="20"/>
          <w:szCs w:val="20"/>
        </w:rPr>
        <w:t xml:space="preserve">Fulton County Schools uses Infinite Campus as the learning management portal, which allows students and parents to view the student’s academic progress and attendance online. You may visit </w:t>
      </w:r>
      <w:hyperlink r:id="rId10">
        <w:r w:rsidRPr="00311A09">
          <w:rPr>
            <w:color w:val="0563C1"/>
            <w:sz w:val="20"/>
            <w:szCs w:val="20"/>
            <w:u w:val="single" w:color="0563C1"/>
          </w:rPr>
          <w:t>www.fultonschools.org/infinitecampus</w:t>
        </w:r>
      </w:hyperlink>
      <w:hyperlink r:id="rId11">
        <w:r w:rsidRPr="00311A09">
          <w:rPr>
            <w:sz w:val="20"/>
            <w:szCs w:val="20"/>
          </w:rPr>
          <w:t xml:space="preserve"> </w:t>
        </w:r>
      </w:hyperlink>
      <w:r w:rsidRPr="00311A09">
        <w:rPr>
          <w:sz w:val="20"/>
          <w:szCs w:val="20"/>
        </w:rPr>
        <w:t>for more detailed information, including instructions for creating an account and logging in.</w:t>
      </w:r>
      <w:r w:rsidR="00D00D1C" w:rsidRPr="00311A09">
        <w:rPr>
          <w:sz w:val="20"/>
          <w:szCs w:val="20"/>
        </w:rPr>
        <w:t xml:space="preserve">  Parents </w:t>
      </w:r>
      <w:r w:rsidR="000E5B5C" w:rsidRPr="00311A09">
        <w:rPr>
          <w:sz w:val="20"/>
          <w:szCs w:val="20"/>
        </w:rPr>
        <w:t>may enable Infinite Campus notifications for student grades and daily attendance</w:t>
      </w:r>
      <w:r w:rsidR="002F1C2F" w:rsidRPr="00311A09">
        <w:rPr>
          <w:sz w:val="20"/>
          <w:szCs w:val="20"/>
        </w:rPr>
        <w:t xml:space="preserve"> in the </w:t>
      </w:r>
      <w:r w:rsidR="0021621D" w:rsidRPr="00311A09">
        <w:rPr>
          <w:sz w:val="20"/>
          <w:szCs w:val="20"/>
        </w:rPr>
        <w:t>P</w:t>
      </w:r>
      <w:r w:rsidR="002F1C2F" w:rsidRPr="00311A09">
        <w:rPr>
          <w:sz w:val="20"/>
          <w:szCs w:val="20"/>
        </w:rPr>
        <w:t xml:space="preserve">arent </w:t>
      </w:r>
      <w:r w:rsidR="0021621D" w:rsidRPr="00311A09">
        <w:rPr>
          <w:sz w:val="20"/>
          <w:szCs w:val="20"/>
        </w:rPr>
        <w:t>C</w:t>
      </w:r>
      <w:r w:rsidR="002F1C2F" w:rsidRPr="00311A09">
        <w:rPr>
          <w:sz w:val="20"/>
          <w:szCs w:val="20"/>
        </w:rPr>
        <w:t xml:space="preserve">ampus </w:t>
      </w:r>
      <w:r w:rsidR="0021621D" w:rsidRPr="00311A09">
        <w:rPr>
          <w:sz w:val="20"/>
          <w:szCs w:val="20"/>
        </w:rPr>
        <w:t>P</w:t>
      </w:r>
      <w:r w:rsidR="002F1C2F" w:rsidRPr="00311A09">
        <w:rPr>
          <w:sz w:val="20"/>
          <w:szCs w:val="20"/>
        </w:rPr>
        <w:t xml:space="preserve">ortal.  </w:t>
      </w:r>
      <w:r w:rsidR="000E5B5C" w:rsidRPr="00311A09">
        <w:rPr>
          <w:sz w:val="20"/>
          <w:szCs w:val="20"/>
        </w:rPr>
        <w:t xml:space="preserve"> </w:t>
      </w:r>
      <w:r w:rsidRPr="00311A09">
        <w:rPr>
          <w:sz w:val="20"/>
          <w:szCs w:val="20"/>
        </w:rPr>
        <w:t xml:space="preserve">  </w:t>
      </w:r>
    </w:p>
    <w:p w14:paraId="03956177" w14:textId="77777777" w:rsidR="00B11AB0" w:rsidRPr="00311A09" w:rsidRDefault="00463025">
      <w:pPr>
        <w:spacing w:after="18" w:line="259" w:lineRule="auto"/>
        <w:ind w:left="-5"/>
        <w:rPr>
          <w:sz w:val="20"/>
          <w:szCs w:val="20"/>
        </w:rPr>
      </w:pPr>
      <w:r w:rsidRPr="00311A09">
        <w:rPr>
          <w:b/>
          <w:sz w:val="20"/>
          <w:szCs w:val="20"/>
        </w:rPr>
        <w:t xml:space="preserve">R.I.S.E.                                                                                                                                                                   </w:t>
      </w:r>
    </w:p>
    <w:p w14:paraId="14C8CB67" w14:textId="77777777" w:rsidR="00B11AB0" w:rsidRPr="00311A09" w:rsidRDefault="00463025">
      <w:pPr>
        <w:spacing w:after="196"/>
        <w:ind w:left="-5"/>
        <w:rPr>
          <w:sz w:val="20"/>
          <w:szCs w:val="20"/>
        </w:rPr>
      </w:pPr>
      <w:r w:rsidRPr="00311A09">
        <w:rPr>
          <w:sz w:val="20"/>
          <w:szCs w:val="20"/>
        </w:rPr>
        <w:t xml:space="preserve">R.I.S.E. stands for Re-teaching/Instructional Support and Enrichment. It is dedicated time made by each teacher on a weekly basis for students to receive additional support to help build to content mastery. AHS highly recommends students attend RISE sessions when their cumulative numeric average is below 74 or when the student earns a 79 or below on a specific major assignment/ assessment. </w:t>
      </w:r>
    </w:p>
    <w:p w14:paraId="762FF898" w14:textId="77777777" w:rsidR="00B11AB0" w:rsidRPr="00311A09" w:rsidRDefault="00463025">
      <w:pPr>
        <w:pStyle w:val="Heading1"/>
        <w:ind w:left="-5"/>
        <w:rPr>
          <w:sz w:val="20"/>
          <w:szCs w:val="20"/>
        </w:rPr>
      </w:pPr>
      <w:r w:rsidRPr="00311A09">
        <w:rPr>
          <w:sz w:val="20"/>
          <w:szCs w:val="20"/>
        </w:rPr>
        <w:t>AHS DEPARTMENT R.I.S.E. SCHEDULE</w:t>
      </w:r>
      <w:r w:rsidRPr="00311A09">
        <w:rPr>
          <w:b w:val="0"/>
          <w:sz w:val="20"/>
          <w:szCs w:val="20"/>
        </w:rPr>
        <w:t xml:space="preserve"> </w:t>
      </w:r>
    </w:p>
    <w:tbl>
      <w:tblPr>
        <w:tblStyle w:val="TableGrid"/>
        <w:tblW w:w="10622" w:type="dxa"/>
        <w:tblInd w:w="10" w:type="dxa"/>
        <w:tblCellMar>
          <w:top w:w="67" w:type="dxa"/>
          <w:left w:w="185" w:type="dxa"/>
          <w:right w:w="115" w:type="dxa"/>
        </w:tblCellMar>
        <w:tblLook w:val="04A0" w:firstRow="1" w:lastRow="0" w:firstColumn="1" w:lastColumn="0" w:noHBand="0" w:noVBand="1"/>
      </w:tblPr>
      <w:tblGrid>
        <w:gridCol w:w="1863"/>
        <w:gridCol w:w="2046"/>
        <w:gridCol w:w="1338"/>
        <w:gridCol w:w="1677"/>
        <w:gridCol w:w="2000"/>
        <w:gridCol w:w="1698"/>
      </w:tblGrid>
      <w:tr w:rsidR="00B11AB0" w:rsidRPr="00311A09" w14:paraId="12074ECD" w14:textId="77777777">
        <w:trPr>
          <w:trHeight w:val="530"/>
        </w:trPr>
        <w:tc>
          <w:tcPr>
            <w:tcW w:w="1875" w:type="dxa"/>
            <w:tcBorders>
              <w:top w:val="single" w:sz="8" w:space="0" w:color="000000"/>
              <w:left w:val="single" w:sz="8" w:space="0" w:color="000000"/>
              <w:bottom w:val="single" w:sz="8" w:space="0" w:color="000000"/>
              <w:right w:val="single" w:sz="8" w:space="0" w:color="000000"/>
            </w:tcBorders>
          </w:tcPr>
          <w:p w14:paraId="2960D8AE" w14:textId="77777777" w:rsidR="00B11AB0" w:rsidRPr="00311A09" w:rsidRDefault="00463025">
            <w:pPr>
              <w:spacing w:line="259" w:lineRule="auto"/>
              <w:ind w:left="0" w:firstLine="0"/>
              <w:rPr>
                <w:sz w:val="20"/>
                <w:szCs w:val="20"/>
              </w:rPr>
            </w:pPr>
            <w:r w:rsidRPr="00311A09">
              <w:rPr>
                <w:b/>
                <w:sz w:val="20"/>
                <w:szCs w:val="20"/>
              </w:rPr>
              <w:t xml:space="preserve">SCHOOL YEAR </w:t>
            </w:r>
          </w:p>
        </w:tc>
        <w:tc>
          <w:tcPr>
            <w:tcW w:w="2057" w:type="dxa"/>
            <w:tcBorders>
              <w:top w:val="single" w:sz="8" w:space="0" w:color="000000"/>
              <w:left w:val="single" w:sz="8" w:space="0" w:color="000000"/>
              <w:bottom w:val="single" w:sz="8" w:space="0" w:color="000000"/>
              <w:right w:val="single" w:sz="8" w:space="0" w:color="000000"/>
            </w:tcBorders>
          </w:tcPr>
          <w:p w14:paraId="03654FA0" w14:textId="77777777" w:rsidR="00B11AB0" w:rsidRPr="00311A09" w:rsidRDefault="00463025">
            <w:pPr>
              <w:spacing w:line="259" w:lineRule="auto"/>
              <w:ind w:left="0" w:right="70" w:firstLine="0"/>
              <w:jc w:val="center"/>
              <w:rPr>
                <w:sz w:val="20"/>
                <w:szCs w:val="20"/>
              </w:rPr>
            </w:pPr>
            <w:r w:rsidRPr="00311A09">
              <w:rPr>
                <w:b/>
                <w:sz w:val="20"/>
                <w:szCs w:val="20"/>
              </w:rPr>
              <w:t xml:space="preserve">Monday </w:t>
            </w:r>
          </w:p>
        </w:tc>
        <w:tc>
          <w:tcPr>
            <w:tcW w:w="1289" w:type="dxa"/>
            <w:tcBorders>
              <w:top w:val="single" w:sz="8" w:space="0" w:color="000000"/>
              <w:left w:val="single" w:sz="8" w:space="0" w:color="000000"/>
              <w:bottom w:val="single" w:sz="8" w:space="0" w:color="000000"/>
              <w:right w:val="single" w:sz="8" w:space="0" w:color="000000"/>
            </w:tcBorders>
          </w:tcPr>
          <w:p w14:paraId="60AC5A61" w14:textId="77777777" w:rsidR="00B11AB0" w:rsidRPr="00311A09" w:rsidRDefault="00463025">
            <w:pPr>
              <w:spacing w:line="259" w:lineRule="auto"/>
              <w:ind w:left="19" w:firstLine="0"/>
              <w:rPr>
                <w:sz w:val="20"/>
                <w:szCs w:val="20"/>
              </w:rPr>
            </w:pPr>
            <w:r w:rsidRPr="00311A09">
              <w:rPr>
                <w:b/>
                <w:sz w:val="20"/>
                <w:szCs w:val="20"/>
              </w:rPr>
              <w:t xml:space="preserve">Tuesday </w:t>
            </w:r>
          </w:p>
        </w:tc>
        <w:tc>
          <w:tcPr>
            <w:tcW w:w="1680" w:type="dxa"/>
            <w:tcBorders>
              <w:top w:val="single" w:sz="8" w:space="0" w:color="000000"/>
              <w:left w:val="single" w:sz="8" w:space="0" w:color="000000"/>
              <w:bottom w:val="single" w:sz="8" w:space="0" w:color="000000"/>
              <w:right w:val="single" w:sz="8" w:space="0" w:color="000000"/>
            </w:tcBorders>
          </w:tcPr>
          <w:p w14:paraId="4F14305A" w14:textId="77777777" w:rsidR="00B11AB0" w:rsidRPr="00311A09" w:rsidRDefault="00463025">
            <w:pPr>
              <w:spacing w:line="259" w:lineRule="auto"/>
              <w:ind w:left="19" w:firstLine="0"/>
              <w:rPr>
                <w:sz w:val="20"/>
                <w:szCs w:val="20"/>
              </w:rPr>
            </w:pPr>
            <w:r w:rsidRPr="00311A09">
              <w:rPr>
                <w:b/>
                <w:sz w:val="20"/>
                <w:szCs w:val="20"/>
              </w:rPr>
              <w:t xml:space="preserve">Wednesday </w:t>
            </w:r>
          </w:p>
        </w:tc>
        <w:tc>
          <w:tcPr>
            <w:tcW w:w="2012" w:type="dxa"/>
            <w:tcBorders>
              <w:top w:val="single" w:sz="8" w:space="0" w:color="000000"/>
              <w:left w:val="single" w:sz="8" w:space="0" w:color="000000"/>
              <w:bottom w:val="single" w:sz="8" w:space="0" w:color="000000"/>
              <w:right w:val="single" w:sz="8" w:space="0" w:color="000000"/>
            </w:tcBorders>
          </w:tcPr>
          <w:p w14:paraId="548FC2DD" w14:textId="77777777" w:rsidR="00B11AB0" w:rsidRPr="00311A09" w:rsidRDefault="00463025">
            <w:pPr>
              <w:spacing w:line="259" w:lineRule="auto"/>
              <w:ind w:left="0" w:right="72" w:firstLine="0"/>
              <w:jc w:val="center"/>
              <w:rPr>
                <w:sz w:val="20"/>
                <w:szCs w:val="20"/>
              </w:rPr>
            </w:pPr>
            <w:r w:rsidRPr="00311A09">
              <w:rPr>
                <w:b/>
                <w:sz w:val="20"/>
                <w:szCs w:val="20"/>
              </w:rPr>
              <w:t xml:space="preserve">Thursday </w:t>
            </w:r>
          </w:p>
        </w:tc>
        <w:tc>
          <w:tcPr>
            <w:tcW w:w="1709" w:type="dxa"/>
            <w:tcBorders>
              <w:top w:val="single" w:sz="8" w:space="0" w:color="000000"/>
              <w:left w:val="single" w:sz="8" w:space="0" w:color="000000"/>
              <w:bottom w:val="single" w:sz="8" w:space="0" w:color="000000"/>
              <w:right w:val="single" w:sz="8" w:space="0" w:color="000000"/>
            </w:tcBorders>
          </w:tcPr>
          <w:p w14:paraId="2A336DC8" w14:textId="77777777" w:rsidR="00B11AB0" w:rsidRPr="00311A09" w:rsidRDefault="00463025">
            <w:pPr>
              <w:spacing w:line="259" w:lineRule="auto"/>
              <w:ind w:left="0" w:right="69" w:firstLine="0"/>
              <w:jc w:val="center"/>
              <w:rPr>
                <w:sz w:val="20"/>
                <w:szCs w:val="20"/>
              </w:rPr>
            </w:pPr>
            <w:r w:rsidRPr="00311A09">
              <w:rPr>
                <w:b/>
                <w:sz w:val="20"/>
                <w:szCs w:val="20"/>
              </w:rPr>
              <w:t xml:space="preserve">Friday </w:t>
            </w:r>
          </w:p>
        </w:tc>
      </w:tr>
      <w:tr w:rsidR="00B11AB0" w:rsidRPr="00311A09" w14:paraId="68C485D0" w14:textId="77777777">
        <w:trPr>
          <w:trHeight w:val="530"/>
        </w:trPr>
        <w:tc>
          <w:tcPr>
            <w:tcW w:w="1875" w:type="dxa"/>
            <w:tcBorders>
              <w:top w:val="single" w:sz="8" w:space="0" w:color="000000"/>
              <w:left w:val="single" w:sz="8" w:space="0" w:color="000000"/>
              <w:bottom w:val="single" w:sz="8" w:space="0" w:color="000000"/>
              <w:right w:val="single" w:sz="8" w:space="0" w:color="000000"/>
            </w:tcBorders>
          </w:tcPr>
          <w:p w14:paraId="3D66CA57" w14:textId="3A0DA80F" w:rsidR="00B11AB0" w:rsidRPr="00311A09" w:rsidRDefault="00463025">
            <w:pPr>
              <w:spacing w:line="259" w:lineRule="auto"/>
              <w:ind w:left="0" w:right="67" w:firstLine="0"/>
              <w:jc w:val="center"/>
              <w:rPr>
                <w:sz w:val="20"/>
                <w:szCs w:val="20"/>
              </w:rPr>
            </w:pPr>
            <w:r w:rsidRPr="00311A09">
              <w:rPr>
                <w:i/>
                <w:sz w:val="20"/>
                <w:szCs w:val="20"/>
              </w:rPr>
              <w:t>20</w:t>
            </w:r>
            <w:r w:rsidR="005A241A" w:rsidRPr="00311A09">
              <w:rPr>
                <w:i/>
                <w:sz w:val="20"/>
                <w:szCs w:val="20"/>
              </w:rPr>
              <w:t>22</w:t>
            </w:r>
            <w:r w:rsidRPr="00311A09">
              <w:rPr>
                <w:i/>
                <w:sz w:val="20"/>
                <w:szCs w:val="20"/>
              </w:rPr>
              <w:t>-202</w:t>
            </w:r>
            <w:r w:rsidR="005A241A" w:rsidRPr="00311A09">
              <w:rPr>
                <w:i/>
                <w:sz w:val="20"/>
                <w:szCs w:val="20"/>
              </w:rPr>
              <w:t>3</w:t>
            </w:r>
            <w:r w:rsidRPr="00311A09">
              <w:rPr>
                <w:i/>
                <w:sz w:val="20"/>
                <w:szCs w:val="20"/>
              </w:rPr>
              <w:t xml:space="preserve"> </w:t>
            </w:r>
          </w:p>
        </w:tc>
        <w:tc>
          <w:tcPr>
            <w:tcW w:w="2057" w:type="dxa"/>
            <w:tcBorders>
              <w:top w:val="single" w:sz="8" w:space="0" w:color="000000"/>
              <w:left w:val="single" w:sz="8" w:space="0" w:color="000000"/>
              <w:bottom w:val="single" w:sz="8" w:space="0" w:color="000000"/>
              <w:right w:val="single" w:sz="8" w:space="0" w:color="000000"/>
            </w:tcBorders>
          </w:tcPr>
          <w:p w14:paraId="2B6D4A77" w14:textId="1970DDEC" w:rsidR="00B11AB0" w:rsidRPr="00311A09" w:rsidRDefault="005A241A">
            <w:pPr>
              <w:spacing w:line="259" w:lineRule="auto"/>
              <w:ind w:left="0" w:right="71" w:firstLine="0"/>
              <w:jc w:val="center"/>
              <w:rPr>
                <w:sz w:val="20"/>
                <w:szCs w:val="20"/>
              </w:rPr>
            </w:pPr>
            <w:r w:rsidRPr="00311A09">
              <w:rPr>
                <w:sz w:val="20"/>
                <w:szCs w:val="20"/>
              </w:rPr>
              <w:t xml:space="preserve">Electives including World Language </w:t>
            </w:r>
          </w:p>
        </w:tc>
        <w:tc>
          <w:tcPr>
            <w:tcW w:w="1289" w:type="dxa"/>
            <w:tcBorders>
              <w:top w:val="single" w:sz="8" w:space="0" w:color="000000"/>
              <w:left w:val="single" w:sz="8" w:space="0" w:color="000000"/>
              <w:bottom w:val="single" w:sz="8" w:space="0" w:color="000000"/>
              <w:right w:val="single" w:sz="8" w:space="0" w:color="000000"/>
            </w:tcBorders>
          </w:tcPr>
          <w:p w14:paraId="1ACE8F6C" w14:textId="331E80AB" w:rsidR="00B11AB0" w:rsidRPr="00311A09" w:rsidRDefault="005A241A" w:rsidP="00334DA0">
            <w:pPr>
              <w:spacing w:line="259" w:lineRule="auto"/>
              <w:ind w:left="29" w:firstLine="0"/>
              <w:jc w:val="center"/>
              <w:rPr>
                <w:sz w:val="20"/>
                <w:szCs w:val="20"/>
              </w:rPr>
            </w:pPr>
            <w:r w:rsidRPr="00311A09">
              <w:rPr>
                <w:i/>
                <w:sz w:val="20"/>
                <w:szCs w:val="20"/>
              </w:rPr>
              <w:t>Language Arts</w:t>
            </w:r>
          </w:p>
        </w:tc>
        <w:tc>
          <w:tcPr>
            <w:tcW w:w="1680" w:type="dxa"/>
            <w:tcBorders>
              <w:top w:val="single" w:sz="8" w:space="0" w:color="000000"/>
              <w:left w:val="single" w:sz="8" w:space="0" w:color="000000"/>
              <w:bottom w:val="single" w:sz="8" w:space="0" w:color="000000"/>
              <w:right w:val="single" w:sz="8" w:space="0" w:color="000000"/>
            </w:tcBorders>
          </w:tcPr>
          <w:p w14:paraId="0160F40F" w14:textId="51FD084D" w:rsidR="00B11AB0" w:rsidRPr="00311A09" w:rsidRDefault="005A241A" w:rsidP="005A241A">
            <w:pPr>
              <w:spacing w:line="259" w:lineRule="auto"/>
              <w:ind w:left="0" w:right="67" w:firstLine="0"/>
              <w:jc w:val="center"/>
              <w:rPr>
                <w:sz w:val="20"/>
                <w:szCs w:val="20"/>
              </w:rPr>
            </w:pPr>
            <w:r w:rsidRPr="00311A09">
              <w:rPr>
                <w:i/>
                <w:sz w:val="20"/>
                <w:szCs w:val="20"/>
              </w:rPr>
              <w:t>Science</w:t>
            </w:r>
          </w:p>
        </w:tc>
        <w:tc>
          <w:tcPr>
            <w:tcW w:w="2012" w:type="dxa"/>
            <w:tcBorders>
              <w:top w:val="single" w:sz="8" w:space="0" w:color="000000"/>
              <w:left w:val="single" w:sz="8" w:space="0" w:color="000000"/>
              <w:bottom w:val="single" w:sz="8" w:space="0" w:color="000000"/>
              <w:right w:val="single" w:sz="8" w:space="0" w:color="000000"/>
            </w:tcBorders>
          </w:tcPr>
          <w:p w14:paraId="7F7FA469" w14:textId="3A470A6F" w:rsidR="00B11AB0" w:rsidRPr="00311A09" w:rsidRDefault="005A241A">
            <w:pPr>
              <w:spacing w:line="259" w:lineRule="auto"/>
              <w:ind w:left="0" w:right="74" w:firstLine="0"/>
              <w:jc w:val="center"/>
              <w:rPr>
                <w:sz w:val="20"/>
                <w:szCs w:val="20"/>
              </w:rPr>
            </w:pPr>
            <w:r w:rsidRPr="00311A09">
              <w:rPr>
                <w:i/>
                <w:sz w:val="20"/>
                <w:szCs w:val="20"/>
              </w:rPr>
              <w:t xml:space="preserve">Math </w:t>
            </w:r>
            <w:r w:rsidR="00463025" w:rsidRPr="00311A09">
              <w:rPr>
                <w:i/>
                <w:sz w:val="20"/>
                <w:szCs w:val="20"/>
              </w:rPr>
              <w:t xml:space="preserve">  </w:t>
            </w:r>
          </w:p>
        </w:tc>
        <w:tc>
          <w:tcPr>
            <w:tcW w:w="1709" w:type="dxa"/>
            <w:tcBorders>
              <w:top w:val="single" w:sz="8" w:space="0" w:color="000000"/>
              <w:left w:val="single" w:sz="8" w:space="0" w:color="000000"/>
              <w:bottom w:val="single" w:sz="8" w:space="0" w:color="000000"/>
              <w:right w:val="single" w:sz="8" w:space="0" w:color="000000"/>
            </w:tcBorders>
          </w:tcPr>
          <w:p w14:paraId="5ED33C7E" w14:textId="4F24B8CD" w:rsidR="00B11AB0" w:rsidRPr="00311A09" w:rsidRDefault="005A241A">
            <w:pPr>
              <w:spacing w:line="259" w:lineRule="auto"/>
              <w:ind w:left="0" w:right="73" w:firstLine="0"/>
              <w:jc w:val="center"/>
              <w:rPr>
                <w:sz w:val="20"/>
                <w:szCs w:val="20"/>
              </w:rPr>
            </w:pPr>
            <w:r w:rsidRPr="00311A09">
              <w:rPr>
                <w:i/>
                <w:sz w:val="20"/>
                <w:szCs w:val="20"/>
              </w:rPr>
              <w:t xml:space="preserve">Social Studies </w:t>
            </w:r>
            <w:r w:rsidR="00463025" w:rsidRPr="00311A09">
              <w:rPr>
                <w:i/>
                <w:sz w:val="20"/>
                <w:szCs w:val="20"/>
              </w:rPr>
              <w:t xml:space="preserve">  </w:t>
            </w:r>
          </w:p>
        </w:tc>
      </w:tr>
    </w:tbl>
    <w:p w14:paraId="564E66CF" w14:textId="77777777" w:rsidR="00B11AB0" w:rsidRPr="00311A09" w:rsidRDefault="00463025">
      <w:pPr>
        <w:spacing w:after="72" w:line="259" w:lineRule="auto"/>
        <w:ind w:left="0" w:firstLine="0"/>
        <w:rPr>
          <w:sz w:val="20"/>
          <w:szCs w:val="20"/>
        </w:rPr>
      </w:pPr>
      <w:r w:rsidRPr="00311A09">
        <w:rPr>
          <w:b/>
          <w:sz w:val="20"/>
          <w:szCs w:val="20"/>
        </w:rPr>
        <w:t xml:space="preserve"> </w:t>
      </w:r>
    </w:p>
    <w:p w14:paraId="18CB02C5" w14:textId="77777777" w:rsidR="00B11AB0" w:rsidRPr="00311A09" w:rsidRDefault="00463025">
      <w:pPr>
        <w:pStyle w:val="Heading1"/>
        <w:ind w:left="-5"/>
        <w:rPr>
          <w:sz w:val="20"/>
          <w:szCs w:val="20"/>
        </w:rPr>
      </w:pPr>
      <w:r w:rsidRPr="00311A09">
        <w:rPr>
          <w:sz w:val="20"/>
          <w:szCs w:val="20"/>
        </w:rPr>
        <w:t xml:space="preserve">RECOVERY </w:t>
      </w:r>
      <w:r w:rsidRPr="00311A09">
        <w:rPr>
          <w:b w:val="0"/>
          <w:sz w:val="20"/>
          <w:szCs w:val="20"/>
        </w:rPr>
        <w:t xml:space="preserve"> </w:t>
      </w:r>
    </w:p>
    <w:p w14:paraId="6961ED3A" w14:textId="44F23189" w:rsidR="00C807D6" w:rsidRPr="00311A09" w:rsidRDefault="00463025">
      <w:pPr>
        <w:ind w:left="-5"/>
        <w:rPr>
          <w:sz w:val="20"/>
          <w:szCs w:val="20"/>
        </w:rPr>
      </w:pPr>
      <w:r w:rsidRPr="00311A09">
        <w:rPr>
          <w:sz w:val="20"/>
          <w:szCs w:val="20"/>
        </w:rPr>
        <w:t xml:space="preserve">All students will have one (1) opportunity </w:t>
      </w:r>
      <w:r w:rsidR="00467FA0" w:rsidRPr="00311A09">
        <w:rPr>
          <w:sz w:val="20"/>
          <w:szCs w:val="20"/>
        </w:rPr>
        <w:t xml:space="preserve">to recover </w:t>
      </w:r>
      <w:r w:rsidR="00465870" w:rsidRPr="00311A09">
        <w:rPr>
          <w:sz w:val="20"/>
          <w:szCs w:val="20"/>
        </w:rPr>
        <w:t>all</w:t>
      </w:r>
      <w:r w:rsidR="00467FA0" w:rsidRPr="00311A09">
        <w:rPr>
          <w:sz w:val="20"/>
          <w:szCs w:val="20"/>
        </w:rPr>
        <w:t xml:space="preserve"> major ass</w:t>
      </w:r>
      <w:r w:rsidR="0093403D" w:rsidRPr="00311A09">
        <w:rPr>
          <w:sz w:val="20"/>
          <w:szCs w:val="20"/>
        </w:rPr>
        <w:t>ess</w:t>
      </w:r>
      <w:r w:rsidR="00467FA0" w:rsidRPr="00311A09">
        <w:rPr>
          <w:sz w:val="20"/>
          <w:szCs w:val="20"/>
        </w:rPr>
        <w:t>ment</w:t>
      </w:r>
      <w:r w:rsidR="00465870" w:rsidRPr="00311A09">
        <w:rPr>
          <w:sz w:val="20"/>
          <w:szCs w:val="20"/>
        </w:rPr>
        <w:t>s</w:t>
      </w:r>
      <w:r w:rsidR="0093403D" w:rsidRPr="00311A09">
        <w:rPr>
          <w:sz w:val="20"/>
          <w:szCs w:val="20"/>
        </w:rPr>
        <w:t xml:space="preserve"> if they score below a 75%</w:t>
      </w:r>
      <w:r w:rsidRPr="00311A09">
        <w:rPr>
          <w:sz w:val="20"/>
          <w:szCs w:val="20"/>
        </w:rPr>
        <w:t>.</w:t>
      </w:r>
      <w:r w:rsidR="00467FA0" w:rsidRPr="00311A09">
        <w:rPr>
          <w:sz w:val="20"/>
          <w:szCs w:val="20"/>
        </w:rPr>
        <w:t xml:space="preserve">  Recovery must be completed within 10 days of the original </w:t>
      </w:r>
      <w:r w:rsidR="008F62AA" w:rsidRPr="00311A09">
        <w:rPr>
          <w:sz w:val="20"/>
          <w:szCs w:val="20"/>
        </w:rPr>
        <w:t>assessment</w:t>
      </w:r>
      <w:r w:rsidR="00467FA0" w:rsidRPr="00311A09">
        <w:rPr>
          <w:sz w:val="20"/>
          <w:szCs w:val="20"/>
        </w:rPr>
        <w:t xml:space="preserve"> or prior to the next major ass</w:t>
      </w:r>
      <w:r w:rsidR="008F62AA" w:rsidRPr="00311A09">
        <w:rPr>
          <w:sz w:val="20"/>
          <w:szCs w:val="20"/>
        </w:rPr>
        <w:t>essm</w:t>
      </w:r>
      <w:r w:rsidR="00467FA0" w:rsidRPr="00311A09">
        <w:rPr>
          <w:sz w:val="20"/>
          <w:szCs w:val="20"/>
        </w:rPr>
        <w:t>ent, whichever comes first.</w:t>
      </w:r>
      <w:r w:rsidR="008F62AA" w:rsidRPr="00311A09">
        <w:rPr>
          <w:sz w:val="20"/>
          <w:szCs w:val="20"/>
        </w:rPr>
        <w:t xml:space="preserve">  Students are eligible to earn a replacement grade on a recovery </w:t>
      </w:r>
      <w:r w:rsidR="00393362" w:rsidRPr="00311A09">
        <w:rPr>
          <w:sz w:val="20"/>
          <w:szCs w:val="20"/>
        </w:rPr>
        <w:t>assessment</w:t>
      </w:r>
      <w:r w:rsidR="008F62AA" w:rsidRPr="00311A09">
        <w:rPr>
          <w:sz w:val="20"/>
          <w:szCs w:val="20"/>
        </w:rPr>
        <w:t xml:space="preserve"> that is no higher than 75%.</w:t>
      </w:r>
      <w:r w:rsidR="00F811D3" w:rsidRPr="00311A09">
        <w:rPr>
          <w:sz w:val="20"/>
          <w:szCs w:val="20"/>
        </w:rPr>
        <w:t xml:space="preserve">  A teacher must offer a RISE session to support student</w:t>
      </w:r>
      <w:r w:rsidR="00393362" w:rsidRPr="00311A09">
        <w:rPr>
          <w:sz w:val="20"/>
          <w:szCs w:val="20"/>
        </w:rPr>
        <w:t>s</w:t>
      </w:r>
      <w:r w:rsidR="00F811D3" w:rsidRPr="00311A09">
        <w:rPr>
          <w:sz w:val="20"/>
          <w:szCs w:val="20"/>
        </w:rPr>
        <w:t xml:space="preserve"> who need to recover a major assessment after the graded assessment is returned and before the recovery assessment is administered.  </w:t>
      </w:r>
      <w:r w:rsidR="00C807D6" w:rsidRPr="00311A09">
        <w:rPr>
          <w:sz w:val="20"/>
          <w:szCs w:val="20"/>
        </w:rPr>
        <w:t xml:space="preserve">   </w:t>
      </w:r>
    </w:p>
    <w:p w14:paraId="16630005" w14:textId="0067E302" w:rsidR="00B11AB0" w:rsidRPr="00311A09" w:rsidRDefault="00B11AB0">
      <w:pPr>
        <w:spacing w:after="72" w:line="259" w:lineRule="auto"/>
        <w:ind w:left="0" w:firstLine="0"/>
        <w:rPr>
          <w:sz w:val="20"/>
          <w:szCs w:val="20"/>
        </w:rPr>
      </w:pPr>
    </w:p>
    <w:p w14:paraId="6F048798" w14:textId="77777777" w:rsidR="00B11AB0" w:rsidRPr="00311A09" w:rsidRDefault="00463025">
      <w:pPr>
        <w:pStyle w:val="Heading1"/>
        <w:ind w:left="-5"/>
        <w:rPr>
          <w:sz w:val="20"/>
          <w:szCs w:val="20"/>
        </w:rPr>
      </w:pPr>
      <w:r w:rsidRPr="00311A09">
        <w:rPr>
          <w:sz w:val="20"/>
          <w:szCs w:val="20"/>
        </w:rPr>
        <w:t xml:space="preserve">COMMUNICATION WITH FACULTY                                                                                                                  </w:t>
      </w:r>
    </w:p>
    <w:p w14:paraId="1BD2D2E0" w14:textId="77777777" w:rsidR="00B11AB0" w:rsidRPr="00311A09" w:rsidRDefault="00463025">
      <w:pPr>
        <w:ind w:left="-5"/>
        <w:rPr>
          <w:sz w:val="20"/>
          <w:szCs w:val="20"/>
        </w:rPr>
      </w:pPr>
      <w:r w:rsidRPr="00311A09">
        <w:rPr>
          <w:sz w:val="20"/>
          <w:szCs w:val="20"/>
        </w:rPr>
        <w:t xml:space="preserve">Due to limited access to a phone during the school day, please email faculty members with questions and concerns, so they may answer inquiries and resolve issues in a timely manner. Faculty will strive to respond to e-mail within 1 business day. Parents and guardians may arrange individual teacher-parent conferences; however, if a conference with more than one teacher is desired, the student’s counselor can help coordinate the meeting. Parents must meet with a teacher before requesting a meeting with the department chair; parents must meet with a department chair and teacher before requesting a meeting with the department administrator.  </w:t>
      </w:r>
    </w:p>
    <w:p w14:paraId="01F08A36" w14:textId="77777777" w:rsidR="00B11AB0" w:rsidRPr="00311A09" w:rsidRDefault="00463025">
      <w:pPr>
        <w:spacing w:after="73" w:line="259" w:lineRule="auto"/>
        <w:ind w:left="0" w:firstLine="0"/>
        <w:rPr>
          <w:sz w:val="20"/>
          <w:szCs w:val="20"/>
        </w:rPr>
      </w:pPr>
      <w:r w:rsidRPr="00311A09">
        <w:rPr>
          <w:sz w:val="20"/>
          <w:szCs w:val="20"/>
        </w:rPr>
        <w:t xml:space="preserve"> </w:t>
      </w:r>
    </w:p>
    <w:p w14:paraId="03F2DAE4" w14:textId="77777777" w:rsidR="00B11AB0" w:rsidRPr="00311A09" w:rsidRDefault="00463025">
      <w:pPr>
        <w:pStyle w:val="Heading1"/>
        <w:ind w:left="-5"/>
        <w:rPr>
          <w:sz w:val="20"/>
          <w:szCs w:val="20"/>
        </w:rPr>
      </w:pPr>
      <w:r w:rsidRPr="00311A09">
        <w:rPr>
          <w:sz w:val="20"/>
          <w:szCs w:val="20"/>
        </w:rPr>
        <w:t xml:space="preserve">LOST/DAMAGED PROPERTY POLICY                                                                                                                    </w:t>
      </w:r>
    </w:p>
    <w:p w14:paraId="16C402D2" w14:textId="77777777" w:rsidR="00B11AB0" w:rsidRPr="00311A09" w:rsidRDefault="00463025">
      <w:pPr>
        <w:spacing w:after="181"/>
        <w:ind w:left="-5"/>
        <w:rPr>
          <w:sz w:val="20"/>
          <w:szCs w:val="20"/>
        </w:rPr>
      </w:pPr>
      <w:r w:rsidRPr="00311A09">
        <w:rPr>
          <w:noProof/>
          <w:sz w:val="20"/>
          <w:szCs w:val="20"/>
        </w:rPr>
        <w:drawing>
          <wp:anchor distT="0" distB="0" distL="114300" distR="114300" simplePos="0" relativeHeight="251659264" behindDoc="0" locked="0" layoutInCell="1" allowOverlap="0" wp14:anchorId="6FD69E6D" wp14:editId="1788AAF2">
            <wp:simplePos x="0" y="0"/>
            <wp:positionH relativeFrom="column">
              <wp:posOffset>6016371</wp:posOffset>
            </wp:positionH>
            <wp:positionV relativeFrom="paragraph">
              <wp:posOffset>1200913</wp:posOffset>
            </wp:positionV>
            <wp:extent cx="647700" cy="669442"/>
            <wp:effectExtent l="0" t="0" r="0" b="0"/>
            <wp:wrapSquare wrapText="bothSides"/>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2"/>
                    <a:stretch>
                      <a:fillRect/>
                    </a:stretch>
                  </pic:blipFill>
                  <pic:spPr>
                    <a:xfrm>
                      <a:off x="0" y="0"/>
                      <a:ext cx="647700" cy="669442"/>
                    </a:xfrm>
                    <a:prstGeom prst="rect">
                      <a:avLst/>
                    </a:prstGeom>
                  </pic:spPr>
                </pic:pic>
              </a:graphicData>
            </a:graphic>
          </wp:anchor>
        </w:drawing>
      </w:r>
      <w:r w:rsidRPr="00311A09">
        <w:rPr>
          <w:sz w:val="20"/>
          <w:szCs w:val="20"/>
        </w:rPr>
        <w:t xml:space="preserve">Students are financially responsible for all property issued by Alpharetta High School.  These items may not be left in classrooms, and teachers are not responsible for students’ items left unattended. Items issued to the student must be turned in at the end of the course or as otherwise determined.  Students will not receive credit for turning in another student’s book, and students may not turn in replacement books. The cost of replacement items will be assigned to any student that fails to turn in property that was issued. Damaged items are subject to replacement cost. If a student is issued damaged property, the student must notify the administration in writing immediately. </w:t>
      </w:r>
      <w:r w:rsidRPr="00311A09">
        <w:rPr>
          <w:rFonts w:ascii="Arial" w:eastAsia="Arial" w:hAnsi="Arial" w:cs="Arial"/>
          <w:b/>
          <w:sz w:val="20"/>
          <w:szCs w:val="20"/>
        </w:rPr>
        <w:t xml:space="preserve">                   </w:t>
      </w:r>
    </w:p>
    <w:p w14:paraId="4CC8F0E8" w14:textId="77777777" w:rsidR="00311A09" w:rsidRDefault="00311A09">
      <w:pPr>
        <w:spacing w:after="151" w:line="259" w:lineRule="auto"/>
        <w:ind w:left="0" w:right="303" w:firstLine="0"/>
        <w:rPr>
          <w:rFonts w:ascii="Arial" w:eastAsia="Arial" w:hAnsi="Arial" w:cs="Arial"/>
          <w:b/>
          <w:sz w:val="20"/>
          <w:szCs w:val="20"/>
        </w:rPr>
      </w:pPr>
    </w:p>
    <w:p w14:paraId="41BD564D" w14:textId="77777777" w:rsidR="00311A09" w:rsidRPr="00311A09" w:rsidRDefault="00311A09">
      <w:pPr>
        <w:spacing w:after="151" w:line="259" w:lineRule="auto"/>
        <w:ind w:left="0" w:right="303" w:firstLine="0"/>
        <w:rPr>
          <w:rFonts w:ascii="Arial" w:eastAsia="Arial" w:hAnsi="Arial" w:cs="Arial"/>
          <w:b/>
          <w:i/>
          <w:iCs/>
          <w:sz w:val="20"/>
          <w:szCs w:val="20"/>
        </w:rPr>
      </w:pPr>
    </w:p>
    <w:p w14:paraId="78AD0047" w14:textId="4FC8B44D" w:rsidR="00B11AB0" w:rsidRPr="00311A09" w:rsidRDefault="00463025" w:rsidP="00311A09">
      <w:pPr>
        <w:spacing w:after="151" w:line="259" w:lineRule="auto"/>
        <w:ind w:left="0" w:right="303" w:firstLine="0"/>
        <w:jc w:val="center"/>
        <w:rPr>
          <w:i/>
          <w:iCs/>
          <w:sz w:val="20"/>
          <w:szCs w:val="20"/>
        </w:rPr>
      </w:pPr>
      <w:r w:rsidRPr="00311A09">
        <w:rPr>
          <w:rFonts w:ascii="Arial" w:eastAsia="Arial" w:hAnsi="Arial" w:cs="Arial"/>
          <w:b/>
          <w:i/>
          <w:iCs/>
          <w:sz w:val="20"/>
          <w:szCs w:val="20"/>
        </w:rPr>
        <w:t>Creating opportunities for excellence in academics, arts, athletics, and altruism.</w:t>
      </w:r>
    </w:p>
    <w:p w14:paraId="1FF0981F" w14:textId="77777777" w:rsidR="00B11AB0" w:rsidRDefault="00463025">
      <w:pPr>
        <w:spacing w:line="259" w:lineRule="auto"/>
        <w:ind w:left="9475" w:right="253" w:firstLine="0"/>
        <w:jc w:val="right"/>
      </w:pPr>
      <w:r>
        <w:rPr>
          <w:rFonts w:ascii="Calibri" w:eastAsia="Calibri" w:hAnsi="Calibri" w:cs="Calibri"/>
        </w:rPr>
        <w:lastRenderedPageBreak/>
        <w:t xml:space="preserve"> </w:t>
      </w:r>
    </w:p>
    <w:sectPr w:rsidR="00B11AB0">
      <w:headerReference w:type="even" r:id="rId13"/>
      <w:headerReference w:type="default" r:id="rId14"/>
      <w:footerReference w:type="even" r:id="rId15"/>
      <w:footerReference w:type="default" r:id="rId16"/>
      <w:headerReference w:type="first" r:id="rId17"/>
      <w:footerReference w:type="first" r:id="rId18"/>
      <w:pgSz w:w="12240" w:h="15840"/>
      <w:pgMar w:top="760" w:right="723" w:bottom="4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F50C" w14:textId="77777777" w:rsidR="00CC72B5" w:rsidRDefault="00CC72B5" w:rsidP="002D4AFA">
      <w:pPr>
        <w:spacing w:line="240" w:lineRule="auto"/>
      </w:pPr>
      <w:r>
        <w:separator/>
      </w:r>
    </w:p>
  </w:endnote>
  <w:endnote w:type="continuationSeparator" w:id="0">
    <w:p w14:paraId="2C99E0F1" w14:textId="77777777" w:rsidR="00CC72B5" w:rsidRDefault="00CC72B5" w:rsidP="002D4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7C88" w14:textId="77777777" w:rsidR="002D4AFA" w:rsidRDefault="002D4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D279" w14:textId="77777777" w:rsidR="002D4AFA" w:rsidRDefault="002D4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3FE2" w14:textId="77777777" w:rsidR="002D4AFA" w:rsidRDefault="002D4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B630" w14:textId="77777777" w:rsidR="00CC72B5" w:rsidRDefault="00CC72B5" w:rsidP="002D4AFA">
      <w:pPr>
        <w:spacing w:line="240" w:lineRule="auto"/>
      </w:pPr>
      <w:r>
        <w:separator/>
      </w:r>
    </w:p>
  </w:footnote>
  <w:footnote w:type="continuationSeparator" w:id="0">
    <w:p w14:paraId="0FF38E50" w14:textId="77777777" w:rsidR="00CC72B5" w:rsidRDefault="00CC72B5" w:rsidP="002D4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9E94" w14:textId="77777777" w:rsidR="002D4AFA" w:rsidRDefault="002D4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10904"/>
      <w:docPartObj>
        <w:docPartGallery w:val="Watermarks"/>
        <w:docPartUnique/>
      </w:docPartObj>
    </w:sdtPr>
    <w:sdtEndPr/>
    <w:sdtContent>
      <w:p w14:paraId="0E18CD72" w14:textId="1F7D9644" w:rsidR="002D4AFA" w:rsidRDefault="00A2240F">
        <w:pPr>
          <w:pStyle w:val="Header"/>
        </w:pPr>
        <w:r>
          <w:rPr>
            <w:noProof/>
          </w:rPr>
          <w:pict w14:anchorId="0CA7A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F021" w14:textId="77777777" w:rsidR="002D4AFA" w:rsidRDefault="002D4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B0"/>
    <w:rsid w:val="000E5B5C"/>
    <w:rsid w:val="001D5D40"/>
    <w:rsid w:val="00211984"/>
    <w:rsid w:val="0021621D"/>
    <w:rsid w:val="0028342B"/>
    <w:rsid w:val="002D4AFA"/>
    <w:rsid w:val="002E1EA5"/>
    <w:rsid w:val="002F1C2F"/>
    <w:rsid w:val="00311A09"/>
    <w:rsid w:val="003262DA"/>
    <w:rsid w:val="00334DA0"/>
    <w:rsid w:val="00393362"/>
    <w:rsid w:val="00463025"/>
    <w:rsid w:val="00465870"/>
    <w:rsid w:val="00467FA0"/>
    <w:rsid w:val="004A2799"/>
    <w:rsid w:val="005A241A"/>
    <w:rsid w:val="00685A51"/>
    <w:rsid w:val="00840CD6"/>
    <w:rsid w:val="008F3D05"/>
    <w:rsid w:val="008F62AA"/>
    <w:rsid w:val="0093403D"/>
    <w:rsid w:val="009C4707"/>
    <w:rsid w:val="00A2240F"/>
    <w:rsid w:val="00B11AB0"/>
    <w:rsid w:val="00B86270"/>
    <w:rsid w:val="00C807D6"/>
    <w:rsid w:val="00CC72B5"/>
    <w:rsid w:val="00D00D1C"/>
    <w:rsid w:val="00F811D3"/>
    <w:rsid w:val="00F8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082C"/>
  <w15:docId w15:val="{87F4DE3A-AAFE-41F5-9ECA-F653D416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7"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18"/>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D4AFA"/>
    <w:pPr>
      <w:tabs>
        <w:tab w:val="center" w:pos="4680"/>
        <w:tab w:val="right" w:pos="9360"/>
      </w:tabs>
      <w:spacing w:line="240" w:lineRule="auto"/>
    </w:pPr>
  </w:style>
  <w:style w:type="character" w:customStyle="1" w:styleId="HeaderChar">
    <w:name w:val="Header Char"/>
    <w:basedOn w:val="DefaultParagraphFont"/>
    <w:link w:val="Header"/>
    <w:uiPriority w:val="99"/>
    <w:rsid w:val="002D4AFA"/>
    <w:rPr>
      <w:rFonts w:ascii="Century Gothic" w:eastAsia="Century Gothic" w:hAnsi="Century Gothic" w:cs="Century Gothic"/>
      <w:color w:val="000000"/>
    </w:rPr>
  </w:style>
  <w:style w:type="paragraph" w:styleId="Footer">
    <w:name w:val="footer"/>
    <w:basedOn w:val="Normal"/>
    <w:link w:val="FooterChar"/>
    <w:uiPriority w:val="99"/>
    <w:unhideWhenUsed/>
    <w:rsid w:val="002D4AFA"/>
    <w:pPr>
      <w:tabs>
        <w:tab w:val="center" w:pos="4680"/>
        <w:tab w:val="right" w:pos="9360"/>
      </w:tabs>
      <w:spacing w:line="240" w:lineRule="auto"/>
    </w:pPr>
  </w:style>
  <w:style w:type="character" w:customStyle="1" w:styleId="FooterChar">
    <w:name w:val="Footer Char"/>
    <w:basedOn w:val="DefaultParagraphFont"/>
    <w:link w:val="Footer"/>
    <w:uiPriority w:val="99"/>
    <w:rsid w:val="002D4AFA"/>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ultonschools.org/infinitecampu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ultonschools.org/infinitecampu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Rebecca</dc:creator>
  <cp:keywords/>
  <cp:lastModifiedBy>Hatcher, Thomas</cp:lastModifiedBy>
  <cp:revision>2</cp:revision>
  <dcterms:created xsi:type="dcterms:W3CDTF">2022-08-02T13:40:00Z</dcterms:created>
  <dcterms:modified xsi:type="dcterms:W3CDTF">2022-08-02T13:40:00Z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2022-06-15T17:47:28Z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291cbda8-60de-4cd4-b07c-c3fb00c89cce</vt:lpwstr>
  </property>
  <property fmtid="{D5CDD505-2E9C-101B-9397-08002B2CF9AE}" pid="8" name="MSIP_Label_0ee3c538-ec52-435f-ae58-017644bd9513_ContentBits">
    <vt:lpwstr>0</vt:lpwstr>
  </property>
</Properties>
</file>